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F7211" w:rsidRPr="00BF7211">
        <w:t>R4-2111435</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5503C">
        <w:rPr>
          <w:rFonts w:ascii="Arial" w:hAnsi="Arial" w:cs="Arial"/>
          <w:sz w:val="22"/>
        </w:rPr>
        <w:t>O</w:t>
      </w:r>
      <w:r w:rsidR="0035503C" w:rsidRPr="0035503C">
        <w:rPr>
          <w:rFonts w:ascii="Arial" w:hAnsi="Arial" w:cs="Arial"/>
          <w:sz w:val="22"/>
        </w:rPr>
        <w:t>n specific HPUE power class capability for NR V2X</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C03B5" w:rsidRPr="00BC03B5">
        <w:rPr>
          <w:rFonts w:ascii="Arial" w:hAnsi="Arial" w:cs="Arial"/>
          <w:sz w:val="22"/>
        </w:rPr>
        <w:t>9.14.6.3</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AD34EE" w:rsidRDefault="00AD34EE" w:rsidP="009A089A">
      <w:r>
        <w:t xml:space="preserve">One issue on V2X PC2 power class capability was discussed in last RAN4 meeting. </w:t>
      </w:r>
    </w:p>
    <w:p w:rsidR="00DF7746" w:rsidRPr="00AD34EE" w:rsidRDefault="00A474BA" w:rsidP="00AD34EE">
      <w:pPr>
        <w:numPr>
          <w:ilvl w:val="0"/>
          <w:numId w:val="43"/>
        </w:numPr>
        <w:spacing w:after="0"/>
        <w:ind w:hanging="357"/>
        <w:rPr>
          <w:i/>
          <w:lang w:val="en-US"/>
        </w:rPr>
      </w:pPr>
      <w:r w:rsidRPr="00AD34EE">
        <w:rPr>
          <w:b/>
          <w:bCs/>
          <w:i/>
        </w:rPr>
        <w:t xml:space="preserve">Issue 1-2: </w:t>
      </w:r>
      <w:r w:rsidRPr="00AD34EE">
        <w:rPr>
          <w:b/>
          <w:bCs/>
          <w:i/>
          <w:lang w:val="en-US"/>
        </w:rPr>
        <w:t>NR V2X PC2 power class capability</w:t>
      </w:r>
    </w:p>
    <w:p w:rsidR="00DF7746" w:rsidRPr="00AD34EE" w:rsidRDefault="00A474BA" w:rsidP="00AD34EE">
      <w:pPr>
        <w:numPr>
          <w:ilvl w:val="0"/>
          <w:numId w:val="43"/>
        </w:numPr>
        <w:spacing w:after="0"/>
        <w:ind w:hanging="357"/>
        <w:rPr>
          <w:i/>
          <w:lang w:val="en-US"/>
        </w:rPr>
      </w:pPr>
      <w:r w:rsidRPr="00AD34EE">
        <w:rPr>
          <w:b/>
          <w:bCs/>
          <w:i/>
          <w:lang w:val="en-US"/>
        </w:rPr>
        <w:t>Options</w:t>
      </w:r>
    </w:p>
    <w:p w:rsidR="00DF7746" w:rsidRPr="00AD34EE" w:rsidRDefault="00A474BA" w:rsidP="00AD34EE">
      <w:pPr>
        <w:numPr>
          <w:ilvl w:val="1"/>
          <w:numId w:val="43"/>
        </w:numPr>
        <w:spacing w:after="0"/>
        <w:ind w:hanging="357"/>
        <w:rPr>
          <w:i/>
          <w:lang w:val="en-US"/>
        </w:rPr>
      </w:pPr>
      <w:r w:rsidRPr="00AD34EE">
        <w:rPr>
          <w:i/>
          <w:lang w:val="en-US"/>
        </w:rPr>
        <w:t xml:space="preserve">Option 1: Specific PC2 power class for NR V2X needs to be defined.  </w:t>
      </w:r>
    </w:p>
    <w:p w:rsidR="00DF7746" w:rsidRPr="00AD34EE" w:rsidRDefault="00A474BA" w:rsidP="00AD34EE">
      <w:pPr>
        <w:numPr>
          <w:ilvl w:val="1"/>
          <w:numId w:val="43"/>
        </w:numPr>
        <w:rPr>
          <w:i/>
          <w:lang w:val="en-US"/>
        </w:rPr>
      </w:pPr>
      <w:r w:rsidRPr="00AD34EE">
        <w:rPr>
          <w:i/>
          <w:lang w:val="en-US"/>
        </w:rPr>
        <w:t xml:space="preserve">Option 2: No need to introduce Specific PC2 power class for NR V2X </w:t>
      </w:r>
    </w:p>
    <w:p w:rsidR="009A089A" w:rsidRDefault="00AD34EE" w:rsidP="009A089A">
      <w:r>
        <w:t>No conclusion was drawn for the two options above. This contribution provides further consideration on the issue.</w:t>
      </w:r>
      <w:r w:rsidR="005369EE">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F678A9" w:rsidP="005369EE">
      <w:pPr>
        <w:rPr>
          <w:lang w:val="en-US" w:eastAsia="en-US"/>
        </w:rPr>
      </w:pPr>
      <w:r>
        <w:rPr>
          <w:lang w:val="en-US" w:eastAsia="en-US"/>
        </w:rPr>
        <w:t>As discussed in last meeting, there is a specific SL parameter for LTE-V2X to report the PC2 power class capability in TS 36.306.</w:t>
      </w:r>
    </w:p>
    <w:tbl>
      <w:tblPr>
        <w:tblStyle w:val="TableGrid"/>
        <w:tblW w:w="0" w:type="auto"/>
        <w:tblLook w:val="04A0" w:firstRow="1" w:lastRow="0" w:firstColumn="1" w:lastColumn="0" w:noHBand="0" w:noVBand="1"/>
      </w:tblPr>
      <w:tblGrid>
        <w:gridCol w:w="9631"/>
      </w:tblGrid>
      <w:tr w:rsidR="00F678A9" w:rsidTr="00F678A9">
        <w:tc>
          <w:tcPr>
            <w:tcW w:w="9631" w:type="dxa"/>
          </w:tcPr>
          <w:p w:rsidR="00F678A9" w:rsidRPr="00796185" w:rsidRDefault="00F678A9" w:rsidP="00F678A9">
            <w:pPr>
              <w:pStyle w:val="Heading4"/>
              <w:numPr>
                <w:ilvl w:val="0"/>
                <w:numId w:val="0"/>
              </w:numPr>
              <w:outlineLvl w:val="3"/>
            </w:pPr>
            <w:r w:rsidRPr="00796185">
              <w:t>4.3.21.22</w:t>
            </w:r>
            <w:r w:rsidRPr="00796185">
              <w:tab/>
            </w:r>
            <w:r w:rsidRPr="00796185">
              <w:rPr>
                <w:i/>
              </w:rPr>
              <w:t>v2x-HighPower-r14</w:t>
            </w:r>
          </w:p>
          <w:p w:rsidR="00F678A9" w:rsidRDefault="00F678A9" w:rsidP="00F678A9">
            <w:pPr>
              <w:rPr>
                <w:lang w:val="en-US" w:eastAsia="en-US"/>
              </w:rPr>
            </w:pPr>
            <w:r w:rsidRPr="00796185">
              <w:t xml:space="preserve">This parameter indicates whether the UE supports maximum transmit power associated with Power class 2 V2X UE for V2X </w:t>
            </w:r>
            <w:proofErr w:type="spellStart"/>
            <w:r w:rsidRPr="00796185">
              <w:t>sidelink</w:t>
            </w:r>
            <w:proofErr w:type="spellEnd"/>
            <w:r w:rsidRPr="00796185">
              <w:t xml:space="preserve"> transmission in a band, see TS 36.101 [6].</w:t>
            </w:r>
          </w:p>
        </w:tc>
      </w:tr>
    </w:tbl>
    <w:p w:rsidR="00F678A9" w:rsidRDefault="00F678A9" w:rsidP="00F678A9">
      <w:pPr>
        <w:spacing w:before="120"/>
        <w:rPr>
          <w:lang w:val="en-US" w:eastAsia="en-US"/>
        </w:rPr>
      </w:pPr>
      <w:r>
        <w:rPr>
          <w:lang w:val="en-US" w:eastAsia="en-US"/>
        </w:rPr>
        <w:t xml:space="preserve">Though the capability is a SL parameter, </w:t>
      </w:r>
      <w:r w:rsidR="00A459A5">
        <w:rPr>
          <w:lang w:val="en-US" w:eastAsia="en-US"/>
        </w:rPr>
        <w:t xml:space="preserve">it is reported via </w:t>
      </w:r>
      <w:proofErr w:type="spellStart"/>
      <w:r w:rsidR="00A459A5">
        <w:rPr>
          <w:lang w:val="en-US" w:eastAsia="en-US"/>
        </w:rPr>
        <w:t>Uu</w:t>
      </w:r>
      <w:proofErr w:type="spellEnd"/>
      <w:r w:rsidR="00A459A5">
        <w:rPr>
          <w:lang w:val="en-US" w:eastAsia="en-US"/>
        </w:rPr>
        <w:t xml:space="preserve"> RRC messages to the network. </w:t>
      </w:r>
    </w:p>
    <w:p w:rsidR="00AD34EE" w:rsidRPr="004E1F03" w:rsidRDefault="00AD34EE" w:rsidP="00AD34EE">
      <w:pPr>
        <w:pStyle w:val="PL"/>
        <w:shd w:val="clear" w:color="auto" w:fill="E6E6E6"/>
      </w:pPr>
      <w:r w:rsidRPr="004E1F03">
        <w:t>BandParametersTxSL-r14 ::= SEQUENCE {</w:t>
      </w:r>
    </w:p>
    <w:p w:rsidR="00AD34EE" w:rsidRPr="004E1F03" w:rsidRDefault="00AD34EE" w:rsidP="00AD34EE">
      <w:pPr>
        <w:pStyle w:val="PL"/>
        <w:shd w:val="clear" w:color="auto" w:fill="E6E6E6"/>
      </w:pPr>
      <w:r w:rsidRPr="004E1F03">
        <w:tab/>
        <w:t>v2x-BandwidthClassTxSL-r14</w:t>
      </w:r>
      <w:r w:rsidRPr="004E1F03">
        <w:tab/>
      </w:r>
      <w:r w:rsidRPr="004E1F03">
        <w:tab/>
        <w:t>V2X-BandwidthClassSL-r14,</w:t>
      </w:r>
    </w:p>
    <w:p w:rsidR="00AD34EE" w:rsidRPr="004E1F03" w:rsidRDefault="00AD34EE" w:rsidP="00AD34EE">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ab/>
      </w:r>
      <w:r w:rsidRPr="00AD34EE">
        <w:rPr>
          <w:highlight w:val="yellow"/>
        </w:rPr>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AD34EE" w:rsidRPr="004E1F03" w:rsidRDefault="00AD34EE" w:rsidP="00AD34EE">
      <w:pPr>
        <w:pStyle w:val="PL"/>
        <w:shd w:val="clear" w:color="auto" w:fill="E6E6E6"/>
      </w:pPr>
      <w:r w:rsidRPr="004E1F03">
        <w:t>}</w:t>
      </w:r>
    </w:p>
    <w:p w:rsidR="00A459A5" w:rsidRPr="00A459A5" w:rsidRDefault="00A459A5" w:rsidP="00A459A5">
      <w:pPr>
        <w:overflowPunct/>
        <w:autoSpaceDE/>
        <w:autoSpaceDN/>
        <w:adjustRightInd/>
        <w:spacing w:before="120" w:after="120"/>
        <w:textAlignment w:val="auto"/>
        <w:rPr>
          <w:b/>
          <w:i/>
          <w:lang w:val="en-US" w:eastAsia="en-US"/>
        </w:rPr>
      </w:pPr>
      <w:r w:rsidRPr="00A459A5">
        <w:rPr>
          <w:b/>
          <w:i/>
          <w:lang w:val="en-US" w:eastAsia="en-US"/>
        </w:rPr>
        <w:t xml:space="preserve">Observation 1: </w:t>
      </w:r>
      <w:r>
        <w:rPr>
          <w:b/>
          <w:i/>
          <w:lang w:val="en-US" w:eastAsia="en-US"/>
        </w:rPr>
        <w:t xml:space="preserve">Power class 2 UE capability for LTE-V2X is reported via </w:t>
      </w:r>
      <w:proofErr w:type="spellStart"/>
      <w:r>
        <w:rPr>
          <w:b/>
          <w:i/>
          <w:lang w:val="en-US" w:eastAsia="en-US"/>
        </w:rPr>
        <w:t>Uu</w:t>
      </w:r>
      <w:proofErr w:type="spellEnd"/>
      <w:r>
        <w:rPr>
          <w:b/>
          <w:i/>
          <w:lang w:val="en-US" w:eastAsia="en-US"/>
        </w:rPr>
        <w:t xml:space="preserve"> RRC message.</w:t>
      </w:r>
    </w:p>
    <w:p w:rsidR="00422520" w:rsidRDefault="00422520" w:rsidP="00A459A5">
      <w:pPr>
        <w:overflowPunct/>
        <w:autoSpaceDE/>
        <w:autoSpaceDN/>
        <w:adjustRightInd/>
        <w:spacing w:before="120" w:after="120"/>
        <w:textAlignment w:val="auto"/>
        <w:rPr>
          <w:lang w:val="en-US" w:eastAsia="en-US"/>
        </w:rPr>
      </w:pPr>
      <w:r>
        <w:rPr>
          <w:lang w:val="en-US" w:eastAsia="en-US"/>
        </w:rPr>
        <w:t>Since the capability is reported to network, as PC2 is also supported by NR-V2X, we think similar capability is also needed for NR-V2X.</w:t>
      </w:r>
    </w:p>
    <w:p w:rsidR="00422520" w:rsidRPr="00422520" w:rsidRDefault="00422520" w:rsidP="00A459A5">
      <w:pPr>
        <w:overflowPunct/>
        <w:autoSpaceDE/>
        <w:autoSpaceDN/>
        <w:adjustRightInd/>
        <w:spacing w:before="120" w:after="120"/>
        <w:textAlignment w:val="auto"/>
        <w:rPr>
          <w:b/>
          <w:i/>
          <w:lang w:val="en-US" w:eastAsia="en-US"/>
        </w:rPr>
      </w:pPr>
      <w:r w:rsidRPr="00422520">
        <w:rPr>
          <w:b/>
          <w:i/>
          <w:lang w:val="en-US" w:eastAsia="en-US"/>
        </w:rPr>
        <w:t>Proposal 1: Specific PC2 power class for NR V2X needs</w:t>
      </w:r>
      <w:r>
        <w:rPr>
          <w:b/>
          <w:i/>
          <w:lang w:val="en-US" w:eastAsia="en-US"/>
        </w:rPr>
        <w:t xml:space="preserve"> to be defined.</w:t>
      </w:r>
    </w:p>
    <w:p w:rsidR="00A459A5" w:rsidRDefault="00A459A5" w:rsidP="00A459A5">
      <w:pPr>
        <w:overflowPunct/>
        <w:autoSpaceDE/>
        <w:autoSpaceDN/>
        <w:adjustRightInd/>
        <w:spacing w:before="120" w:after="120"/>
        <w:textAlignment w:val="auto"/>
        <w:rPr>
          <w:lang w:val="en-US" w:eastAsia="en-US"/>
        </w:rPr>
      </w:pPr>
      <w:r>
        <w:rPr>
          <w:lang w:val="en-US" w:eastAsia="en-US"/>
        </w:rPr>
        <w:t xml:space="preserve">Unlike LTE-V2X, unicast is supported by NR-V2X. </w:t>
      </w:r>
      <w:r w:rsidR="00422520">
        <w:rPr>
          <w:lang w:val="en-US" w:eastAsia="en-US"/>
        </w:rPr>
        <w:t>And there are some parameters are exchanged between V2X UE to UE as below.</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BandSidelinkPC5-r16 ::=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freqBandSidelink-r16              FreqBandIndicatorNR,</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sl-Reception-r16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harq-RxProcessSidelink-r16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{n16, n24, n32, n64},</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pscch-RxSidelink-r16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{value1, value2},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scs-CP-PatternRxSidelink-r16      </w:t>
      </w:r>
      <w:r w:rsidRPr="00A459A5">
        <w:rPr>
          <w:rFonts w:ascii="Courier New" w:eastAsia="Times New Roman" w:hAnsi="Courier New"/>
          <w:noProof/>
          <w:color w:val="993366"/>
          <w:sz w:val="16"/>
          <w:lang w:eastAsia="en-GB"/>
        </w:rPr>
        <w:t>CHOICE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fr1-r16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scs-15kHz-r16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scs-30kHz-r16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lastRenderedPageBreak/>
        <w:t xml:space="preserve">                scs-60kHz-r16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fr2-r16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scs-60kHz-r16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scs-120kHz-r16                    </w:t>
      </w:r>
      <w:r w:rsidRPr="00A459A5">
        <w:rPr>
          <w:rFonts w:ascii="Courier New" w:eastAsia="Times New Roman" w:hAnsi="Courier New"/>
          <w:noProof/>
          <w:color w:val="993366"/>
          <w:sz w:val="16"/>
          <w:lang w:eastAsia="en-GB"/>
        </w:rPr>
        <w:t>BIT</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STRING</w:t>
      </w: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993366"/>
          <w:sz w:val="16"/>
          <w:lang w:eastAsia="en-GB"/>
        </w:rPr>
        <w:t>SIZE</w:t>
      </w:r>
      <w:r w:rsidRPr="00A459A5">
        <w:rPr>
          <w:rFonts w:ascii="Courier New" w:eastAsia="Times New Roman" w:hAnsi="Courier New"/>
          <w:noProof/>
          <w:sz w:val="16"/>
          <w:lang w:eastAsia="en-GB"/>
        </w:rPr>
        <w:t xml:space="preserve"> (16))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extendedCP-RxSidelink-r16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--15-10</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sl-Tx-256QAM-r16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lowSE-64QAM-MCS-TableSidelink-r16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--15-14</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csi-ReportSidelink-r16                </w:t>
      </w:r>
      <w:r w:rsidRPr="00A459A5">
        <w:rPr>
          <w:rFonts w:ascii="Courier New" w:eastAsia="Times New Roman" w:hAnsi="Courier New"/>
          <w:noProof/>
          <w:color w:val="993366"/>
          <w:sz w:val="16"/>
          <w:lang w:eastAsia="en-GB"/>
        </w:rPr>
        <w:t>SEQUENCE</w:t>
      </w: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csi-RS-PortsSidelink-r16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{p1, p2}</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--15-19</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rankTwoReception-r16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--15-23</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sl-openLoopPC-RSRP-ReportSidelink-r16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r w:rsidRPr="00A459A5">
        <w:rPr>
          <w:rFonts w:ascii="Courier New" w:eastAsia="Times New Roman" w:hAnsi="Courier New"/>
          <w:noProof/>
          <w:sz w:val="16"/>
          <w:lang w:eastAsia="en-GB"/>
        </w:rPr>
        <w:t>,</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A459A5">
        <w:rPr>
          <w:rFonts w:ascii="Courier New" w:eastAsia="Times New Roman" w:hAnsi="Courier New"/>
          <w:noProof/>
          <w:sz w:val="16"/>
          <w:lang w:eastAsia="en-GB"/>
        </w:rPr>
        <w:t xml:space="preserve">    </w:t>
      </w:r>
      <w:r w:rsidRPr="00A459A5">
        <w:rPr>
          <w:rFonts w:ascii="Courier New" w:eastAsia="Times New Roman" w:hAnsi="Courier New"/>
          <w:noProof/>
          <w:color w:val="808080"/>
          <w:sz w:val="16"/>
          <w:lang w:eastAsia="en-GB"/>
        </w:rPr>
        <w:t>--13-1</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sl-Rx-256QAM-r16                      </w:t>
      </w:r>
      <w:r w:rsidRPr="00A459A5">
        <w:rPr>
          <w:rFonts w:ascii="Courier New" w:eastAsia="Times New Roman" w:hAnsi="Courier New"/>
          <w:noProof/>
          <w:color w:val="993366"/>
          <w:sz w:val="16"/>
          <w:lang w:eastAsia="en-GB"/>
        </w:rPr>
        <w:t>ENUMERATED</w:t>
      </w:r>
      <w:r w:rsidRPr="00A459A5">
        <w:rPr>
          <w:rFonts w:ascii="Courier New" w:eastAsia="Times New Roman" w:hAnsi="Courier New"/>
          <w:noProof/>
          <w:sz w:val="16"/>
          <w:lang w:eastAsia="en-GB"/>
        </w:rPr>
        <w:t xml:space="preserve"> {supported}                                    </w:t>
      </w:r>
      <w:r w:rsidRPr="00A459A5">
        <w:rPr>
          <w:rFonts w:ascii="Courier New" w:eastAsia="Times New Roman" w:hAnsi="Courier New"/>
          <w:noProof/>
          <w:color w:val="993366"/>
          <w:sz w:val="16"/>
          <w:lang w:eastAsia="en-GB"/>
        </w:rPr>
        <w:t>OPTIONAL</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 xml:space="preserve">    ]]</w:t>
      </w:r>
    </w:p>
    <w:p w:rsidR="00A459A5" w:rsidRPr="00A459A5" w:rsidRDefault="00A459A5" w:rsidP="00A459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A459A5">
        <w:rPr>
          <w:rFonts w:ascii="Courier New" w:eastAsia="Times New Roman" w:hAnsi="Courier New"/>
          <w:noProof/>
          <w:sz w:val="16"/>
          <w:lang w:eastAsia="en-GB"/>
        </w:rPr>
        <w:t>}</w:t>
      </w:r>
    </w:p>
    <w:p w:rsidR="00F678A9" w:rsidRDefault="00422520" w:rsidP="00422520">
      <w:pPr>
        <w:overflowPunct/>
        <w:autoSpaceDE/>
        <w:autoSpaceDN/>
        <w:adjustRightInd/>
        <w:spacing w:before="240" w:after="0"/>
        <w:textAlignment w:val="auto"/>
        <w:rPr>
          <w:lang w:val="en-US" w:eastAsia="en-US"/>
        </w:rPr>
      </w:pPr>
      <w:r>
        <w:rPr>
          <w:lang w:val="en-US" w:eastAsia="en-US"/>
        </w:rPr>
        <w:t xml:space="preserve">In our view, the power class information does not need to be included in the PC5 RRC messages, it should still be reported via </w:t>
      </w:r>
      <w:proofErr w:type="spellStart"/>
      <w:r>
        <w:rPr>
          <w:lang w:val="en-US" w:eastAsia="en-US"/>
        </w:rPr>
        <w:t>Uu</w:t>
      </w:r>
      <w:proofErr w:type="spellEnd"/>
      <w:r>
        <w:rPr>
          <w:lang w:val="en-US" w:eastAsia="en-US"/>
        </w:rPr>
        <w:t xml:space="preserve"> RRC message. </w:t>
      </w:r>
    </w:p>
    <w:p w:rsidR="00422520" w:rsidRDefault="00422520" w:rsidP="00422520">
      <w:pPr>
        <w:overflowPunct/>
        <w:autoSpaceDE/>
        <w:autoSpaceDN/>
        <w:adjustRightInd/>
        <w:spacing w:before="240" w:after="0"/>
        <w:textAlignment w:val="auto"/>
        <w:rPr>
          <w:b/>
          <w:i/>
          <w:lang w:val="en-US" w:eastAsia="en-US"/>
        </w:rPr>
      </w:pPr>
      <w:r w:rsidRPr="00422520">
        <w:rPr>
          <w:b/>
          <w:i/>
          <w:lang w:val="en-US" w:eastAsia="en-US"/>
        </w:rPr>
        <w:t xml:space="preserve">Proposal 2: </w:t>
      </w:r>
      <w:r>
        <w:rPr>
          <w:b/>
          <w:i/>
          <w:lang w:val="en-US" w:eastAsia="en-US"/>
        </w:rPr>
        <w:t xml:space="preserve">The new PC2 power class for NR-V2X should be reported via </w:t>
      </w:r>
      <w:proofErr w:type="spellStart"/>
      <w:r>
        <w:rPr>
          <w:b/>
          <w:i/>
          <w:lang w:val="en-US" w:eastAsia="en-US"/>
        </w:rPr>
        <w:t>Uu</w:t>
      </w:r>
      <w:proofErr w:type="spellEnd"/>
      <w:r>
        <w:rPr>
          <w:b/>
          <w:i/>
          <w:lang w:val="en-US" w:eastAsia="en-US"/>
        </w:rPr>
        <w:t xml:space="preserve"> RRC message.</w:t>
      </w:r>
    </w:p>
    <w:p w:rsidR="00422520" w:rsidRDefault="00F668EB" w:rsidP="00422520">
      <w:pPr>
        <w:overflowPunct/>
        <w:autoSpaceDE/>
        <w:autoSpaceDN/>
        <w:adjustRightInd/>
        <w:spacing w:before="240" w:after="0"/>
        <w:textAlignment w:val="auto"/>
        <w:rPr>
          <w:lang w:val="en-US" w:eastAsia="en-US"/>
        </w:rPr>
      </w:pPr>
      <w:r w:rsidRPr="00F668EB">
        <w:rPr>
          <w:lang w:val="en-US" w:eastAsia="en-US"/>
        </w:rPr>
        <w:t>Sin</w:t>
      </w:r>
      <w:r>
        <w:rPr>
          <w:lang w:val="en-US" w:eastAsia="en-US"/>
        </w:rPr>
        <w:t>ce PC2 HPUE NR-V2X is considered in RAN4 as a Rel-16 left over issue, the capability should be introduced from Rel-16.</w:t>
      </w:r>
    </w:p>
    <w:p w:rsidR="00F668EB" w:rsidRPr="00F668EB" w:rsidRDefault="00F668EB" w:rsidP="00422520">
      <w:pPr>
        <w:overflowPunct/>
        <w:autoSpaceDE/>
        <w:autoSpaceDN/>
        <w:adjustRightInd/>
        <w:spacing w:before="240" w:after="0"/>
        <w:textAlignment w:val="auto"/>
        <w:rPr>
          <w:lang w:val="en-US" w:eastAsia="en-US"/>
        </w:rPr>
      </w:pPr>
      <w:r>
        <w:rPr>
          <w:b/>
          <w:i/>
          <w:lang w:val="en-US" w:eastAsia="en-US"/>
        </w:rPr>
        <w:t>Proposal 3: The new PC2 power class for NR-V2X should be introduced from Rel-16.</w:t>
      </w:r>
    </w:p>
    <w:p w:rsidR="00422520" w:rsidRPr="00422520" w:rsidRDefault="00422520" w:rsidP="00422520">
      <w:pPr>
        <w:overflowPunct/>
        <w:autoSpaceDE/>
        <w:autoSpaceDN/>
        <w:adjustRightInd/>
        <w:spacing w:before="240" w:after="0"/>
        <w:textAlignment w:val="auto"/>
        <w:rPr>
          <w:b/>
          <w:i/>
          <w:lang w:val="en-US" w:eastAsia="en-US"/>
        </w:rPr>
      </w:pPr>
      <w:r>
        <w:rPr>
          <w:b/>
          <w:i/>
          <w:lang w:val="en-US" w:eastAsia="en-US"/>
        </w:rPr>
        <w:t xml:space="preserve">Proposal </w:t>
      </w:r>
      <w:r w:rsidR="00F668EB">
        <w:rPr>
          <w:b/>
          <w:i/>
          <w:lang w:val="en-US" w:eastAsia="en-US"/>
        </w:rPr>
        <w:t>4</w:t>
      </w:r>
      <w:r>
        <w:rPr>
          <w:b/>
          <w:i/>
          <w:lang w:val="en-US" w:eastAsia="en-US"/>
        </w:rPr>
        <w:t xml:space="preserve">: LS </w:t>
      </w:r>
      <w:r w:rsidR="00F668EB">
        <w:rPr>
          <w:b/>
          <w:i/>
          <w:lang w:val="en-US" w:eastAsia="en-US"/>
        </w:rPr>
        <w:t xml:space="preserve">should be sent </w:t>
      </w:r>
      <w:r>
        <w:rPr>
          <w:b/>
          <w:i/>
          <w:lang w:val="en-US" w:eastAsia="en-US"/>
        </w:rPr>
        <w:t xml:space="preserve">to RAN2 on the </w:t>
      </w:r>
      <w:r w:rsidR="00F668EB">
        <w:rPr>
          <w:b/>
          <w:i/>
          <w:lang w:val="en-US" w:eastAsia="en-US"/>
        </w:rPr>
        <w:t>agreements for the new PC2 power class capability for NR-V2X.</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F668EB">
        <w:t>our consideration on specific HPUE power class capability for NR-V2X. We have the following observations and proposals.</w:t>
      </w:r>
    </w:p>
    <w:p w:rsidR="00F668EB" w:rsidRPr="00A459A5" w:rsidRDefault="00F668EB" w:rsidP="00F668EB">
      <w:pPr>
        <w:overflowPunct/>
        <w:autoSpaceDE/>
        <w:autoSpaceDN/>
        <w:adjustRightInd/>
        <w:spacing w:after="120"/>
        <w:textAlignment w:val="auto"/>
        <w:rPr>
          <w:b/>
          <w:i/>
          <w:lang w:val="en-US" w:eastAsia="en-US"/>
        </w:rPr>
      </w:pPr>
      <w:r w:rsidRPr="00A459A5">
        <w:rPr>
          <w:b/>
          <w:i/>
          <w:lang w:val="en-US" w:eastAsia="en-US"/>
        </w:rPr>
        <w:t xml:space="preserve">Observation 1: </w:t>
      </w:r>
      <w:r>
        <w:rPr>
          <w:b/>
          <w:i/>
          <w:lang w:val="en-US" w:eastAsia="en-US"/>
        </w:rPr>
        <w:t xml:space="preserve">Power class 2 UE capability for LTE-V2X is reported via </w:t>
      </w:r>
      <w:proofErr w:type="spellStart"/>
      <w:r>
        <w:rPr>
          <w:b/>
          <w:i/>
          <w:lang w:val="en-US" w:eastAsia="en-US"/>
        </w:rPr>
        <w:t>Uu</w:t>
      </w:r>
      <w:proofErr w:type="spellEnd"/>
      <w:r>
        <w:rPr>
          <w:b/>
          <w:i/>
          <w:lang w:val="en-US" w:eastAsia="en-US"/>
        </w:rPr>
        <w:t xml:space="preserve"> RRC message.</w:t>
      </w:r>
    </w:p>
    <w:p w:rsidR="00F668EB" w:rsidRDefault="00F668EB" w:rsidP="00F668EB">
      <w:pPr>
        <w:overflowPunct/>
        <w:autoSpaceDE/>
        <w:autoSpaceDN/>
        <w:adjustRightInd/>
        <w:spacing w:after="120"/>
        <w:textAlignment w:val="auto"/>
        <w:rPr>
          <w:b/>
          <w:i/>
          <w:lang w:val="en-US" w:eastAsia="en-US"/>
        </w:rPr>
      </w:pPr>
      <w:r w:rsidRPr="00422520">
        <w:rPr>
          <w:b/>
          <w:i/>
          <w:lang w:val="en-US" w:eastAsia="en-US"/>
        </w:rPr>
        <w:t>Proposal 1: Specific PC2 power class for NR V2X needs</w:t>
      </w:r>
      <w:r>
        <w:rPr>
          <w:b/>
          <w:i/>
          <w:lang w:val="en-US" w:eastAsia="en-US"/>
        </w:rPr>
        <w:t xml:space="preserve"> to be defined.</w:t>
      </w:r>
    </w:p>
    <w:p w:rsidR="00F668EB" w:rsidRDefault="00F668EB" w:rsidP="00F668EB">
      <w:pPr>
        <w:overflowPunct/>
        <w:autoSpaceDE/>
        <w:autoSpaceDN/>
        <w:adjustRightInd/>
        <w:spacing w:after="120"/>
        <w:textAlignment w:val="auto"/>
        <w:rPr>
          <w:b/>
          <w:i/>
          <w:lang w:val="en-US" w:eastAsia="en-US"/>
        </w:rPr>
      </w:pPr>
      <w:r w:rsidRPr="00422520">
        <w:rPr>
          <w:b/>
          <w:i/>
          <w:lang w:val="en-US" w:eastAsia="en-US"/>
        </w:rPr>
        <w:t xml:space="preserve">Proposal 2: </w:t>
      </w:r>
      <w:r>
        <w:rPr>
          <w:b/>
          <w:i/>
          <w:lang w:val="en-US" w:eastAsia="en-US"/>
        </w:rPr>
        <w:t xml:space="preserve">The new PC2 power class for NR-V2X should be reported via </w:t>
      </w:r>
      <w:proofErr w:type="spellStart"/>
      <w:r>
        <w:rPr>
          <w:b/>
          <w:i/>
          <w:lang w:val="en-US" w:eastAsia="en-US"/>
        </w:rPr>
        <w:t>Uu</w:t>
      </w:r>
      <w:proofErr w:type="spellEnd"/>
      <w:r>
        <w:rPr>
          <w:b/>
          <w:i/>
          <w:lang w:val="en-US" w:eastAsia="en-US"/>
        </w:rPr>
        <w:t xml:space="preserve"> RRC message.</w:t>
      </w:r>
    </w:p>
    <w:p w:rsidR="00F668EB" w:rsidRPr="00F668EB" w:rsidRDefault="00F668EB" w:rsidP="00F668EB">
      <w:pPr>
        <w:overflowPunct/>
        <w:autoSpaceDE/>
        <w:autoSpaceDN/>
        <w:adjustRightInd/>
        <w:spacing w:after="120"/>
        <w:textAlignment w:val="auto"/>
        <w:rPr>
          <w:lang w:val="en-US" w:eastAsia="en-US"/>
        </w:rPr>
      </w:pPr>
      <w:r>
        <w:rPr>
          <w:b/>
          <w:i/>
          <w:lang w:val="en-US" w:eastAsia="en-US"/>
        </w:rPr>
        <w:t>Proposal 3: The new PC2 power class for NR-V2X should be introduced from Rel-16.</w:t>
      </w:r>
    </w:p>
    <w:p w:rsidR="00F668EB" w:rsidRDefault="00F668EB" w:rsidP="00F668EB">
      <w:pPr>
        <w:overflowPunct/>
        <w:autoSpaceDE/>
        <w:autoSpaceDN/>
        <w:adjustRightInd/>
        <w:spacing w:after="120"/>
        <w:textAlignment w:val="auto"/>
        <w:rPr>
          <w:b/>
          <w:i/>
          <w:lang w:val="en-US" w:eastAsia="en-US"/>
        </w:rPr>
      </w:pPr>
      <w:r>
        <w:rPr>
          <w:b/>
          <w:i/>
          <w:lang w:val="en-US" w:eastAsia="en-US"/>
        </w:rPr>
        <w:t>Proposal 4: LS should be sent to RAN2 on the agreements for the new PC2 power class capability for NR-V2X.</w:t>
      </w:r>
    </w:p>
    <w:p w:rsidR="00E8001B" w:rsidRPr="00E8001B" w:rsidRDefault="00E8001B" w:rsidP="00F668EB">
      <w:pPr>
        <w:overflowPunct/>
        <w:autoSpaceDE/>
        <w:autoSpaceDN/>
        <w:adjustRightInd/>
        <w:spacing w:after="120"/>
        <w:textAlignment w:val="auto"/>
        <w:rPr>
          <w:lang w:val="en-US" w:eastAsia="en-US"/>
        </w:rPr>
      </w:pPr>
      <w:r>
        <w:rPr>
          <w:lang w:val="en-US" w:eastAsia="en-US"/>
        </w:rPr>
        <w:t>A draft LS is provided in [2].</w:t>
      </w:r>
    </w:p>
    <w:p w:rsidR="00B22DA6" w:rsidRDefault="00B22DA6" w:rsidP="00B22DA6">
      <w:pPr>
        <w:pStyle w:val="Heading1"/>
        <w:numPr>
          <w:ilvl w:val="0"/>
          <w:numId w:val="0"/>
        </w:numPr>
        <w:rPr>
          <w:rFonts w:eastAsia="宋体"/>
          <w:lang w:eastAsia="zh-CN"/>
        </w:rPr>
      </w:pPr>
      <w:r>
        <w:lastRenderedPageBreak/>
        <w:t>References</w:t>
      </w:r>
    </w:p>
    <w:p w:rsidR="00C53757" w:rsidRDefault="0035262B" w:rsidP="00F71A33">
      <w:r>
        <w:rPr>
          <w:rFonts w:hint="eastAsia"/>
        </w:rPr>
        <w:t>[1]</w:t>
      </w:r>
      <w:r w:rsidR="005369EE">
        <w:t xml:space="preserve"> </w:t>
      </w:r>
      <w:r w:rsidR="00AD34EE" w:rsidRPr="00AD34EE">
        <w:t>R4-2105407</w:t>
      </w:r>
      <w:r w:rsidR="00AD34EE">
        <w:t>,</w:t>
      </w:r>
      <w:r w:rsidR="00AD34EE" w:rsidRPr="00AD34EE">
        <w:t xml:space="preserve"> Way forward on PC2 NR V2X</w:t>
      </w:r>
    </w:p>
    <w:p w:rsidR="00E8001B" w:rsidRDefault="00E8001B" w:rsidP="00F71A33">
      <w:r>
        <w:t xml:space="preserve">[2] </w:t>
      </w:r>
      <w:r w:rsidR="00BF7211" w:rsidRPr="00BF7211">
        <w:t>R4-2111436</w:t>
      </w:r>
      <w:r>
        <w:t>, draft LS on new power class 2 capability for NR-V2X</w:t>
      </w:r>
      <w:r w:rsidR="00BE68FD">
        <w:t xml:space="preserve">, Huawei, </w:t>
      </w:r>
      <w:proofErr w:type="gramStart"/>
      <w:r w:rsidR="00BE68FD">
        <w:t>HiSilicon</w:t>
      </w:r>
      <w:proofErr w:type="gramEnd"/>
    </w:p>
    <w:sectPr w:rsidR="00E800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DC4" w:rsidRDefault="00317DC4" w:rsidP="0052762B">
      <w:r>
        <w:separator/>
      </w:r>
    </w:p>
  </w:endnote>
  <w:endnote w:type="continuationSeparator" w:id="0">
    <w:p w:rsidR="00317DC4" w:rsidRDefault="00317DC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DC4" w:rsidRDefault="00317DC4" w:rsidP="0052762B">
      <w:r>
        <w:separator/>
      </w:r>
    </w:p>
  </w:footnote>
  <w:footnote w:type="continuationSeparator" w:id="0">
    <w:p w:rsidR="00317DC4" w:rsidRDefault="00317DC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E0654"/>
    <w:multiLevelType w:val="hybridMultilevel"/>
    <w:tmpl w:val="D514DCAC"/>
    <w:lvl w:ilvl="0" w:tplc="7564D6FC">
      <w:start w:val="1"/>
      <w:numFmt w:val="bullet"/>
      <w:lvlText w:val="•"/>
      <w:lvlJc w:val="left"/>
      <w:pPr>
        <w:tabs>
          <w:tab w:val="num" w:pos="720"/>
        </w:tabs>
        <w:ind w:left="720" w:hanging="360"/>
      </w:pPr>
      <w:rPr>
        <w:rFonts w:ascii="Arial" w:hAnsi="Arial" w:hint="default"/>
      </w:rPr>
    </w:lvl>
    <w:lvl w:ilvl="1" w:tplc="0A12C47A">
      <w:numFmt w:val="bullet"/>
      <w:lvlText w:val="-"/>
      <w:lvlJc w:val="left"/>
      <w:pPr>
        <w:tabs>
          <w:tab w:val="num" w:pos="1440"/>
        </w:tabs>
        <w:ind w:left="1440" w:hanging="360"/>
      </w:pPr>
      <w:rPr>
        <w:rFonts w:ascii="Calibri" w:hAnsi="Calibri" w:hint="default"/>
      </w:rPr>
    </w:lvl>
    <w:lvl w:ilvl="2" w:tplc="33D267EA" w:tentative="1">
      <w:start w:val="1"/>
      <w:numFmt w:val="bullet"/>
      <w:lvlText w:val="•"/>
      <w:lvlJc w:val="left"/>
      <w:pPr>
        <w:tabs>
          <w:tab w:val="num" w:pos="2160"/>
        </w:tabs>
        <w:ind w:left="2160" w:hanging="360"/>
      </w:pPr>
      <w:rPr>
        <w:rFonts w:ascii="Arial" w:hAnsi="Arial" w:hint="default"/>
      </w:rPr>
    </w:lvl>
    <w:lvl w:ilvl="3" w:tplc="FA48306E" w:tentative="1">
      <w:start w:val="1"/>
      <w:numFmt w:val="bullet"/>
      <w:lvlText w:val="•"/>
      <w:lvlJc w:val="left"/>
      <w:pPr>
        <w:tabs>
          <w:tab w:val="num" w:pos="2880"/>
        </w:tabs>
        <w:ind w:left="2880" w:hanging="360"/>
      </w:pPr>
      <w:rPr>
        <w:rFonts w:ascii="Arial" w:hAnsi="Arial" w:hint="default"/>
      </w:rPr>
    </w:lvl>
    <w:lvl w:ilvl="4" w:tplc="51FC8460" w:tentative="1">
      <w:start w:val="1"/>
      <w:numFmt w:val="bullet"/>
      <w:lvlText w:val="•"/>
      <w:lvlJc w:val="left"/>
      <w:pPr>
        <w:tabs>
          <w:tab w:val="num" w:pos="3600"/>
        </w:tabs>
        <w:ind w:left="3600" w:hanging="360"/>
      </w:pPr>
      <w:rPr>
        <w:rFonts w:ascii="Arial" w:hAnsi="Arial" w:hint="default"/>
      </w:rPr>
    </w:lvl>
    <w:lvl w:ilvl="5" w:tplc="E82C77D4" w:tentative="1">
      <w:start w:val="1"/>
      <w:numFmt w:val="bullet"/>
      <w:lvlText w:val="•"/>
      <w:lvlJc w:val="left"/>
      <w:pPr>
        <w:tabs>
          <w:tab w:val="num" w:pos="4320"/>
        </w:tabs>
        <w:ind w:left="4320" w:hanging="360"/>
      </w:pPr>
      <w:rPr>
        <w:rFonts w:ascii="Arial" w:hAnsi="Arial" w:hint="default"/>
      </w:rPr>
    </w:lvl>
    <w:lvl w:ilvl="6" w:tplc="8C18DADE" w:tentative="1">
      <w:start w:val="1"/>
      <w:numFmt w:val="bullet"/>
      <w:lvlText w:val="•"/>
      <w:lvlJc w:val="left"/>
      <w:pPr>
        <w:tabs>
          <w:tab w:val="num" w:pos="5040"/>
        </w:tabs>
        <w:ind w:left="5040" w:hanging="360"/>
      </w:pPr>
      <w:rPr>
        <w:rFonts w:ascii="Arial" w:hAnsi="Arial" w:hint="default"/>
      </w:rPr>
    </w:lvl>
    <w:lvl w:ilvl="7" w:tplc="F5E4E5F8" w:tentative="1">
      <w:start w:val="1"/>
      <w:numFmt w:val="bullet"/>
      <w:lvlText w:val="•"/>
      <w:lvlJc w:val="left"/>
      <w:pPr>
        <w:tabs>
          <w:tab w:val="num" w:pos="5760"/>
        </w:tabs>
        <w:ind w:left="5760" w:hanging="360"/>
      </w:pPr>
      <w:rPr>
        <w:rFonts w:ascii="Arial" w:hAnsi="Arial" w:hint="default"/>
      </w:rPr>
    </w:lvl>
    <w:lvl w:ilvl="8" w:tplc="0DD401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37"/>
  </w:num>
  <w:num w:numId="5">
    <w:abstractNumId w:val="1"/>
  </w:num>
  <w:num w:numId="6">
    <w:abstractNumId w:val="36"/>
  </w:num>
  <w:num w:numId="7">
    <w:abstractNumId w:val="17"/>
  </w:num>
  <w:num w:numId="8">
    <w:abstractNumId w:val="30"/>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3"/>
  </w:num>
  <w:num w:numId="21">
    <w:abstractNumId w:val="14"/>
  </w:num>
  <w:num w:numId="22">
    <w:abstractNumId w:val="5"/>
  </w:num>
  <w:num w:numId="23">
    <w:abstractNumId w:val="22"/>
  </w:num>
  <w:num w:numId="24">
    <w:abstractNumId w:val="35"/>
  </w:num>
  <w:num w:numId="25">
    <w:abstractNumId w:val="8"/>
  </w:num>
  <w:num w:numId="26">
    <w:abstractNumId w:val="34"/>
  </w:num>
  <w:num w:numId="27">
    <w:abstractNumId w:val="33"/>
  </w:num>
  <w:num w:numId="28">
    <w:abstractNumId w:val="18"/>
  </w:num>
  <w:num w:numId="29">
    <w:abstractNumId w:val="38"/>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17DC4"/>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3C"/>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52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A5"/>
    <w:rsid w:val="00A459F4"/>
    <w:rsid w:val="00A45BD4"/>
    <w:rsid w:val="00A46545"/>
    <w:rsid w:val="00A46652"/>
    <w:rsid w:val="00A46C45"/>
    <w:rsid w:val="00A46CE4"/>
    <w:rsid w:val="00A474BA"/>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4EE"/>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3B5"/>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8FD"/>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211"/>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746"/>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01B"/>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8EB"/>
    <w:rsid w:val="00F66992"/>
    <w:rsid w:val="00F672BB"/>
    <w:rsid w:val="00F67472"/>
    <w:rsid w:val="00F678A9"/>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PLChar">
    <w:name w:val="PL Char"/>
    <w:link w:val="PL"/>
    <w:rsid w:val="00AD34EE"/>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7295660">
      <w:bodyDiv w:val="1"/>
      <w:marLeft w:val="0"/>
      <w:marRight w:val="0"/>
      <w:marTop w:val="0"/>
      <w:marBottom w:val="0"/>
      <w:divBdr>
        <w:top w:val="none" w:sz="0" w:space="0" w:color="auto"/>
        <w:left w:val="none" w:sz="0" w:space="0" w:color="auto"/>
        <w:bottom w:val="none" w:sz="0" w:space="0" w:color="auto"/>
        <w:right w:val="none" w:sz="0" w:space="0" w:color="auto"/>
      </w:divBdr>
      <w:divsChild>
        <w:div w:id="242758657">
          <w:marLeft w:val="360"/>
          <w:marRight w:val="0"/>
          <w:marTop w:val="200"/>
          <w:marBottom w:val="0"/>
          <w:divBdr>
            <w:top w:val="none" w:sz="0" w:space="0" w:color="auto"/>
            <w:left w:val="none" w:sz="0" w:space="0" w:color="auto"/>
            <w:bottom w:val="none" w:sz="0" w:space="0" w:color="auto"/>
            <w:right w:val="none" w:sz="0" w:space="0" w:color="auto"/>
          </w:divBdr>
        </w:div>
        <w:div w:id="420954116">
          <w:marLeft w:val="360"/>
          <w:marRight w:val="0"/>
          <w:marTop w:val="200"/>
          <w:marBottom w:val="0"/>
          <w:divBdr>
            <w:top w:val="none" w:sz="0" w:space="0" w:color="auto"/>
            <w:left w:val="none" w:sz="0" w:space="0" w:color="auto"/>
            <w:bottom w:val="none" w:sz="0" w:space="0" w:color="auto"/>
            <w:right w:val="none" w:sz="0" w:space="0" w:color="auto"/>
          </w:divBdr>
        </w:div>
        <w:div w:id="1767188243">
          <w:marLeft w:val="1080"/>
          <w:marRight w:val="0"/>
          <w:marTop w:val="100"/>
          <w:marBottom w:val="0"/>
          <w:divBdr>
            <w:top w:val="none" w:sz="0" w:space="0" w:color="auto"/>
            <w:left w:val="none" w:sz="0" w:space="0" w:color="auto"/>
            <w:bottom w:val="none" w:sz="0" w:space="0" w:color="auto"/>
            <w:right w:val="none" w:sz="0" w:space="0" w:color="auto"/>
          </w:divBdr>
        </w:div>
        <w:div w:id="2037922699">
          <w:marLeft w:val="1080"/>
          <w:marRight w:val="0"/>
          <w:marTop w:val="100"/>
          <w:marBottom w:val="0"/>
          <w:divBdr>
            <w:top w:val="none" w:sz="0" w:space="0" w:color="auto"/>
            <w:left w:val="none" w:sz="0" w:space="0" w:color="auto"/>
            <w:bottom w:val="none" w:sz="0" w:space="0" w:color="auto"/>
            <w:right w:val="none" w:sz="0" w:space="0" w:color="auto"/>
          </w:divBdr>
        </w:div>
      </w:divsChild>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6A5D6-3ABA-455E-B189-3F015907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TotalTime>
  <Pages>3</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2021-05-08T04:20:00Z</dcterms:created>
  <dcterms:modified xsi:type="dcterms:W3CDTF">2021-05-11T22:08:00Z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(3)aJhZ2MdVZzF59HPoyCwUYgcun3gJFlGg8amTpbSMwiqbX1I6nEhSQDXIbBh1xMsou1Jj3pPz
MghtIPVsxyBPKpXosS3keP7xW/Q6flDKuzzBiKWN4p5OGuNQEAMi5u4V0XFfzoX/ZCOp3X79
LE99UqYS4VYz4IS7zVrfEqMxHZHZ8kZYs7QCmJtlb8PCn4Pg2tAdZ3fX998ZwP4WAFt7nXjC
q0lYmJzRuzozcCCaMO</vt:lpwstr>
  </property>
  <property fmtid="{D5CDD505-2E9C-101B-9397-08002B2CF9AE}" pid="15" name="_2015_ms_pID_725343_00">
    <vt:lpwstr>_2015_ms_pID_725343</vt:lpwstr>
  </property>
  <property fmtid="{D5CDD505-2E9C-101B-9397-08002B2CF9AE}" pid="16" name="_2015_ms_pID_7253431">
    <vt:lpwstr>5+5gayQTp2lXYpk8WjHhnFuZVoS1qnfZJ8V4NsNgQLSNTT/nlKhxcm
V7O6BFM6bMK7GEnsjspm4RBWCpdjJGTq0ynmrSNCWo3KToj8CNjp//MegUfJ9EEVzRFV91y2
DAxMUn0zPhYJ8KGRWzPXxaXCN1RBQ4fjn/QHEVnlSrt15xJXRKzJypNAP3bJpH0yE6ZwWHOi
niWf9wNdRQbfzekxHdLxvZMTknlhBO8xoRzu</vt:lpwstr>
  </property>
  <property fmtid="{D5CDD505-2E9C-101B-9397-08002B2CF9AE}" pid="17" name="_2015_ms_pID_7253431_00">
    <vt:lpwstr>_2015_ms_pID_7253431</vt:lpwstr>
  </property>
  <property fmtid="{D5CDD505-2E9C-101B-9397-08002B2CF9AE}" pid="18" name="_2015_ms_pID_7253432">
    <vt:lpwstr>yh1Vd/aBdjLAg7yf9vARluM=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